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6AB63898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527489">
        <w:t>29</w:t>
      </w:r>
      <w:r w:rsidR="00A45328">
        <w:t>»</w:t>
      </w:r>
      <w:r>
        <w:t xml:space="preserve"> </w:t>
      </w:r>
      <w:r w:rsidR="00527489">
        <w:t>октября</w:t>
      </w:r>
      <w:r>
        <w:t xml:space="preserve"> </w:t>
      </w:r>
      <w:r w:rsidR="000E6F83">
        <w:t>20</w:t>
      </w:r>
      <w:r w:rsidR="00905F82">
        <w:t>20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334B7107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2C6943">
        <w:rPr>
          <w:b/>
        </w:rPr>
        <w:t>286 860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2C6943">
        <w:t>Двести восемьдесят шесть тысяч восемьсот шестьдесят)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0EDE51C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DF476C">
        <w:t>20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9D24E5E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D5082">
        <w:t>05</w:t>
      </w:r>
      <w:r w:rsidR="00F512C5">
        <w:t>.</w:t>
      </w:r>
      <w:r w:rsidR="002D5082" w:rsidRPr="002D5082">
        <w:t>11</w:t>
      </w:r>
      <w:r w:rsidR="000E6F83">
        <w:t>.20</w:t>
      </w:r>
      <w:r w:rsidR="00DF476C">
        <w:t>20</w:t>
      </w:r>
      <w:r w:rsidRPr="001D2756">
        <w:t xml:space="preserve">г. время: 10:00 часов. </w:t>
      </w:r>
    </w:p>
    <w:p w14:paraId="6D93676A" w14:textId="0BA2AB69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2D5082">
        <w:t>05.</w:t>
      </w:r>
      <w:r w:rsidR="002D5082" w:rsidRPr="002D5082">
        <w:t>11</w:t>
      </w:r>
      <w:bookmarkStart w:id="0" w:name="_GoBack"/>
      <w:bookmarkEnd w:id="0"/>
      <w:r w:rsidR="00DF476C">
        <w:t>.2020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6943"/>
    <w:rsid w:val="002D5082"/>
    <w:rsid w:val="00315833"/>
    <w:rsid w:val="00397E45"/>
    <w:rsid w:val="003A097F"/>
    <w:rsid w:val="003E0963"/>
    <w:rsid w:val="0040761D"/>
    <w:rsid w:val="00417985"/>
    <w:rsid w:val="004447DC"/>
    <w:rsid w:val="004678D8"/>
    <w:rsid w:val="004F2E93"/>
    <w:rsid w:val="00506656"/>
    <w:rsid w:val="00521C57"/>
    <w:rsid w:val="00525D82"/>
    <w:rsid w:val="00527489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4</cp:revision>
  <cp:lastPrinted>2020-10-29T10:06:00Z</cp:lastPrinted>
  <dcterms:created xsi:type="dcterms:W3CDTF">2020-09-23T05:23:00Z</dcterms:created>
  <dcterms:modified xsi:type="dcterms:W3CDTF">2020-10-29T10:06:00Z</dcterms:modified>
</cp:coreProperties>
</file>